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E1" w:rsidRDefault="006E11E1" w:rsidP="00EC4268">
      <w:pPr>
        <w:spacing w:line="360" w:lineRule="auto"/>
        <w:jc w:val="center"/>
        <w:rPr>
          <w:b/>
          <w:sz w:val="32"/>
          <w:szCs w:val="32"/>
        </w:rPr>
      </w:pPr>
      <w:r w:rsidRPr="00EC4268">
        <w:rPr>
          <w:rFonts w:hint="eastAsia"/>
          <w:b/>
          <w:sz w:val="32"/>
          <w:szCs w:val="32"/>
        </w:rPr>
        <w:t>梅州市特殊教育学校教师职称竞争推荐方案</w:t>
      </w:r>
    </w:p>
    <w:p w:rsidR="000E215D" w:rsidRPr="000E215D" w:rsidRDefault="000E215D" w:rsidP="00EC426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A406E7">
        <w:rPr>
          <w:rFonts w:hint="eastAsia"/>
          <w:b/>
          <w:sz w:val="24"/>
          <w:szCs w:val="24"/>
        </w:rPr>
        <w:t>2016</w:t>
      </w:r>
      <w:r w:rsidR="00A406E7">
        <w:rPr>
          <w:rFonts w:hint="eastAsia"/>
          <w:b/>
          <w:sz w:val="24"/>
          <w:szCs w:val="24"/>
        </w:rPr>
        <w:t>—</w:t>
      </w:r>
      <w:r w:rsidR="00A406E7">
        <w:rPr>
          <w:rFonts w:hint="eastAsia"/>
          <w:b/>
          <w:sz w:val="24"/>
          <w:szCs w:val="24"/>
        </w:rPr>
        <w:t>2017</w:t>
      </w:r>
      <w:r w:rsidR="00A406E7">
        <w:rPr>
          <w:rFonts w:hint="eastAsia"/>
          <w:b/>
          <w:sz w:val="24"/>
          <w:szCs w:val="24"/>
        </w:rPr>
        <w:t>学年度</w:t>
      </w:r>
      <w:r>
        <w:rPr>
          <w:rFonts w:hint="eastAsia"/>
          <w:b/>
          <w:sz w:val="24"/>
          <w:szCs w:val="24"/>
        </w:rPr>
        <w:t>）</w:t>
      </w:r>
    </w:p>
    <w:p w:rsidR="006E11E1" w:rsidRPr="003C1412" w:rsidRDefault="006E11E1" w:rsidP="00781E2A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为了进一步深化学校人事制度改革，加强学校师资队伍建设，健全和完善公开、公平、公正的学校职称评审推荐工作，充分调动广大教职工的积极性、主动性和创造性，确保学校稳定、和谐发展，进一步规范我校中、高级专业技术职务参评的考核推荐工作，根据上级有关文件精神，结合我校实际情况，特制定本方案。</w:t>
      </w:r>
    </w:p>
    <w:p w:rsidR="00E13BB9" w:rsidRPr="003C1412" w:rsidRDefault="00E13BB9" w:rsidP="00781E2A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加强组织领导</w:t>
      </w:r>
    </w:p>
    <w:p w:rsidR="00E13BB9" w:rsidRPr="003C1412" w:rsidRDefault="00E13BB9" w:rsidP="00781E2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为做好教师职称竞争推荐工作，特成立职称竞争推荐领导小组（回避制度），具体组成人员如下：</w:t>
      </w:r>
    </w:p>
    <w:p w:rsidR="00E13BB9" w:rsidRPr="003C1412" w:rsidRDefault="00E13BB9" w:rsidP="00781E2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 xml:space="preserve">组长：姚生平  </w:t>
      </w:r>
      <w:r w:rsidR="003C1412" w:rsidRPr="003C1412">
        <w:rPr>
          <w:rFonts w:ascii="宋体" w:hAnsi="宋体" w:cs="宋体" w:hint="eastAsia"/>
          <w:kern w:val="0"/>
          <w:sz w:val="24"/>
          <w:szCs w:val="24"/>
        </w:rPr>
        <w:t xml:space="preserve">   </w:t>
      </w:r>
      <w:r w:rsidRPr="003C1412">
        <w:rPr>
          <w:rFonts w:ascii="宋体" w:hAnsi="宋体" w:cs="宋体" w:hint="eastAsia"/>
          <w:kern w:val="0"/>
          <w:sz w:val="24"/>
          <w:szCs w:val="24"/>
        </w:rPr>
        <w:t>副组长：冯伟君</w:t>
      </w:r>
    </w:p>
    <w:p w:rsidR="00E13BB9" w:rsidRPr="003C1412" w:rsidRDefault="00E13BB9" w:rsidP="00781E2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成员：曾</w:t>
      </w:r>
      <w:r w:rsidR="00EC4268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3C1412">
        <w:rPr>
          <w:rFonts w:ascii="宋体" w:hAnsi="宋体" w:cs="宋体" w:hint="eastAsia"/>
          <w:kern w:val="0"/>
          <w:sz w:val="24"/>
          <w:szCs w:val="24"/>
        </w:rPr>
        <w:t xml:space="preserve">苑 </w:t>
      </w:r>
      <w:r w:rsidR="00EC4268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Pr="003C1412">
        <w:rPr>
          <w:rFonts w:ascii="宋体" w:hAnsi="宋体" w:cs="宋体" w:hint="eastAsia"/>
          <w:kern w:val="0"/>
          <w:sz w:val="24"/>
          <w:szCs w:val="24"/>
        </w:rPr>
        <w:t>杨炜良  李俊庭  梁梅玉</w:t>
      </w:r>
    </w:p>
    <w:p w:rsidR="00E13BB9" w:rsidRPr="003C1412" w:rsidRDefault="00E13BB9" w:rsidP="00781E2A">
      <w:pPr>
        <w:widowControl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为保证职评推荐工作的</w:t>
      </w:r>
      <w:r w:rsidR="00B01F4F" w:rsidRPr="003C1412">
        <w:rPr>
          <w:rFonts w:ascii="宋体" w:hAnsi="宋体" w:cs="宋体" w:hint="eastAsia"/>
          <w:kern w:val="0"/>
          <w:sz w:val="24"/>
          <w:szCs w:val="24"/>
        </w:rPr>
        <w:t>质量和效果，根据“指导意见”的要求，成立由行政领导及高级教师组成的推荐委员会，具体组成人员如下：</w:t>
      </w:r>
    </w:p>
    <w:p w:rsidR="00B01F4F" w:rsidRPr="003C1412" w:rsidRDefault="00B01F4F" w:rsidP="00DF368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姚生平：校长，小学高级教师</w:t>
      </w:r>
    </w:p>
    <w:p w:rsidR="00B01F4F" w:rsidRPr="003C1412" w:rsidRDefault="00B01F4F" w:rsidP="00DF368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冯伟君：副校长，小学高级（副高级）教师</w:t>
      </w:r>
    </w:p>
    <w:p w:rsidR="00B01F4F" w:rsidRPr="003C1412" w:rsidRDefault="00B01F4F" w:rsidP="00DF368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3C1412">
        <w:rPr>
          <w:rFonts w:ascii="宋体" w:hAnsi="宋体" w:cs="宋体" w:hint="eastAsia"/>
          <w:kern w:val="0"/>
          <w:sz w:val="24"/>
          <w:szCs w:val="24"/>
        </w:rPr>
        <w:t>曾  苑：办公室主任，小学高级（副高级）教师</w:t>
      </w:r>
    </w:p>
    <w:p w:rsidR="003C1412" w:rsidRPr="003C1412" w:rsidRDefault="003C1412" w:rsidP="00DF3687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3C1412">
        <w:rPr>
          <w:rFonts w:ascii="宋体" w:cs="宋体" w:hint="eastAsia"/>
          <w:kern w:val="0"/>
          <w:sz w:val="24"/>
          <w:szCs w:val="24"/>
        </w:rPr>
        <w:t>朱艳光：中学高级教师</w:t>
      </w:r>
      <w:r w:rsidR="00DF3687">
        <w:rPr>
          <w:rFonts w:ascii="宋体" w:cs="宋体" w:hint="eastAsia"/>
          <w:kern w:val="0"/>
          <w:sz w:val="24"/>
          <w:szCs w:val="24"/>
        </w:rPr>
        <w:t xml:space="preserve">       </w:t>
      </w:r>
      <w:r w:rsidRPr="003C1412">
        <w:rPr>
          <w:rFonts w:ascii="宋体" w:cs="宋体" w:hint="eastAsia"/>
          <w:kern w:val="0"/>
          <w:sz w:val="24"/>
          <w:szCs w:val="24"/>
        </w:rPr>
        <w:t>张会红：中学高级教师</w:t>
      </w:r>
    </w:p>
    <w:p w:rsidR="003C1412" w:rsidRPr="003C1412" w:rsidRDefault="003C1412" w:rsidP="00DF3687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3C1412">
        <w:rPr>
          <w:rFonts w:ascii="宋体" w:cs="宋体" w:hint="eastAsia"/>
          <w:kern w:val="0"/>
          <w:sz w:val="24"/>
          <w:szCs w:val="24"/>
        </w:rPr>
        <w:t>魏丽华：中学高级教师</w:t>
      </w:r>
      <w:r w:rsidR="00DF3687">
        <w:rPr>
          <w:rFonts w:ascii="宋体" w:cs="宋体" w:hint="eastAsia"/>
          <w:kern w:val="0"/>
          <w:sz w:val="24"/>
          <w:szCs w:val="24"/>
        </w:rPr>
        <w:t xml:space="preserve">       </w:t>
      </w:r>
      <w:r w:rsidRPr="003C1412">
        <w:rPr>
          <w:rFonts w:ascii="宋体" w:cs="宋体" w:hint="eastAsia"/>
          <w:kern w:val="0"/>
          <w:sz w:val="24"/>
          <w:szCs w:val="24"/>
        </w:rPr>
        <w:t>李业平：中学高级教师</w:t>
      </w:r>
    </w:p>
    <w:p w:rsidR="006E11E1" w:rsidRPr="003C1412" w:rsidRDefault="003C1412" w:rsidP="00DF3687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二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、评聘推荐工作的原则</w:t>
      </w:r>
    </w:p>
    <w:p w:rsidR="006E11E1" w:rsidRPr="003C1412" w:rsidRDefault="003C1412" w:rsidP="00DF3687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1、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按岗位比例推荐的原则；</w:t>
      </w:r>
    </w:p>
    <w:p w:rsidR="006E11E1" w:rsidRPr="003C1412" w:rsidRDefault="006E11E1" w:rsidP="00DF3687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根据市教育局《关于印发〈梅州市中小学教师</w:t>
      </w:r>
      <w:r w:rsidR="00807EE5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职称（职务）竞争推荐工作的指导意见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〉</w:t>
      </w:r>
      <w:r w:rsidR="00807EE5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的通知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》条款的规定：</w:t>
      </w:r>
      <w:r w:rsidRPr="003C1412">
        <w:rPr>
          <w:rFonts w:ascii="宋体" w:cs="宋体" w:hint="eastAsia"/>
          <w:color w:val="000000"/>
          <w:kern w:val="0"/>
          <w:sz w:val="24"/>
          <w:szCs w:val="24"/>
        </w:rPr>
        <w:t>“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竞争推荐坚持在核定的岗位结构比例和岗位数量范围内进行，不得进行岗位结构比例和核定岗位数量范围之外，与岗位聘用相脱离的任职资格推荐。”</w:t>
      </w:r>
    </w:p>
    <w:p w:rsidR="006E11E1" w:rsidRPr="003C1412" w:rsidRDefault="003C1412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2、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公开、公平、竞争、择优的原则；</w:t>
      </w:r>
    </w:p>
    <w:p w:rsidR="006E11E1" w:rsidRPr="003C1412" w:rsidRDefault="003C1412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3、</w:t>
      </w:r>
      <w:r w:rsidR="00250C97">
        <w:rPr>
          <w:rFonts w:ascii="宋体" w:hAnsi="宋体" w:cs="宋体" w:hint="eastAsia"/>
          <w:color w:val="000000"/>
          <w:kern w:val="0"/>
          <w:sz w:val="24"/>
          <w:szCs w:val="24"/>
        </w:rPr>
        <w:t>定性与定量评价相结合，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工作年限</w:t>
      </w:r>
      <w:r w:rsidR="00250C97">
        <w:rPr>
          <w:rFonts w:ascii="宋体" w:hAnsi="宋体" w:cs="宋体" w:hint="eastAsia"/>
          <w:color w:val="000000"/>
          <w:kern w:val="0"/>
          <w:sz w:val="24"/>
          <w:szCs w:val="24"/>
        </w:rPr>
        <w:t>、工作量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与年度考核相结合的原则；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二、适用对象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本校教职工中符合上级文件规定的专业技术职务（职称）晋升、聘任基本条件的人员。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三、拟参评</w:t>
      </w:r>
      <w:r w:rsidR="00250C97">
        <w:rPr>
          <w:rFonts w:ascii="宋体" w:hAnsi="宋体" w:cs="宋体" w:hint="eastAsia"/>
          <w:color w:val="000000"/>
          <w:kern w:val="0"/>
          <w:sz w:val="24"/>
          <w:szCs w:val="24"/>
        </w:rPr>
        <w:t>中、高级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人员的量化赋分办法（上限分数不限）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年度考核赋分：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任现职以来年度考核合格</w:t>
      </w:r>
      <w:r w:rsidR="00AC5445">
        <w:rPr>
          <w:rFonts w:ascii="宋体" w:hAnsi="宋体" w:cs="宋体" w:hint="eastAsia"/>
          <w:color w:val="000000"/>
          <w:kern w:val="0"/>
          <w:sz w:val="24"/>
          <w:szCs w:val="24"/>
        </w:rPr>
        <w:t>以上（含合格）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为</w:t>
      </w:r>
      <w:r w:rsidR="009A77C3">
        <w:rPr>
          <w:rFonts w:ascii="宋体" w:hAnsi="宋体" w:cs="宋体" w:hint="eastAsia"/>
          <w:color w:val="000000"/>
          <w:kern w:val="0"/>
          <w:sz w:val="24"/>
          <w:szCs w:val="24"/>
        </w:rPr>
        <w:t>每年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教学（工作）年限赋分：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教师按教学工作年限（教龄），</w:t>
      </w:r>
      <w:r w:rsidR="000E215D">
        <w:rPr>
          <w:rFonts w:ascii="宋体" w:hAnsi="宋体" w:cs="宋体" w:hint="eastAsia"/>
          <w:color w:val="000000"/>
          <w:kern w:val="0"/>
          <w:sz w:val="24"/>
          <w:szCs w:val="24"/>
        </w:rPr>
        <w:t>教</w:t>
      </w:r>
      <w:r w:rsidR="00C56D74">
        <w:rPr>
          <w:rFonts w:ascii="宋体" w:hAnsi="宋体" w:cs="宋体" w:hint="eastAsia"/>
          <w:color w:val="000000"/>
          <w:kern w:val="0"/>
          <w:sz w:val="24"/>
          <w:szCs w:val="24"/>
        </w:rPr>
        <w:t>龄</w:t>
      </w:r>
      <w:r w:rsidR="000E215D">
        <w:rPr>
          <w:rFonts w:ascii="宋体" w:hAnsi="宋体" w:cs="宋体" w:hint="eastAsia"/>
          <w:color w:val="000000"/>
          <w:kern w:val="0"/>
          <w:sz w:val="24"/>
          <w:szCs w:val="24"/>
        </w:rPr>
        <w:t>每年</w:t>
      </w:r>
      <w:r w:rsidR="00C56D74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="000E215D">
        <w:rPr>
          <w:rFonts w:ascii="宋体" w:hAnsi="宋体" w:cs="宋体" w:hint="eastAsia"/>
          <w:color w:val="000000"/>
          <w:kern w:val="0"/>
          <w:sz w:val="24"/>
          <w:szCs w:val="24"/>
        </w:rPr>
        <w:t>分，</w:t>
      </w:r>
      <w:r w:rsidR="00C56D74">
        <w:rPr>
          <w:rFonts w:ascii="宋体" w:hAnsi="宋体" w:cs="宋体" w:hint="eastAsia"/>
          <w:color w:val="000000"/>
          <w:kern w:val="0"/>
          <w:sz w:val="24"/>
          <w:szCs w:val="24"/>
        </w:rPr>
        <w:t>如出现同等分值情况下，特校工作年限长者为先；从教以业在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薄弱</w:t>
      </w:r>
      <w:r w:rsidR="00DF3687">
        <w:rPr>
          <w:rFonts w:ascii="宋体" w:hAnsi="宋体" w:cs="宋体" w:hint="eastAsia"/>
          <w:color w:val="000000"/>
          <w:kern w:val="0"/>
          <w:sz w:val="24"/>
          <w:szCs w:val="24"/>
        </w:rPr>
        <w:t>（农村）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学校工作经历或支教</w:t>
      </w:r>
      <w:r w:rsidR="000E215D">
        <w:rPr>
          <w:rFonts w:ascii="宋体" w:hAnsi="宋体" w:cs="宋体" w:hint="eastAsia"/>
          <w:color w:val="000000"/>
          <w:kern w:val="0"/>
          <w:sz w:val="24"/>
          <w:szCs w:val="24"/>
        </w:rPr>
        <w:t>人员3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3.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聘任现专业技术职务年限赋分：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任现职专业技术职务年限，每年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4.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校内职务赋分：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从教以来担任行政、教研组长、</w:t>
      </w:r>
      <w:r w:rsidR="000E215D">
        <w:rPr>
          <w:rFonts w:ascii="宋体" w:hAnsi="宋体" w:cs="宋体" w:hint="eastAsia"/>
          <w:color w:val="000000"/>
          <w:kern w:val="0"/>
          <w:sz w:val="24"/>
          <w:szCs w:val="24"/>
        </w:rPr>
        <w:t>团队负责人、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班主任每年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分（同一时段任多种职务</w:t>
      </w:r>
      <w:r w:rsidR="00342A06">
        <w:rPr>
          <w:rFonts w:ascii="宋体" w:hAnsi="宋体" w:cs="宋体" w:hint="eastAsia"/>
          <w:color w:val="000000"/>
          <w:kern w:val="0"/>
          <w:sz w:val="24"/>
          <w:szCs w:val="24"/>
        </w:rPr>
        <w:t>可累计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）。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5.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学校专业技术职务评（聘）委会综合评定赋分：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根据定性与定量评价相结合的原则，由学校</w:t>
      </w:r>
      <w:r w:rsidR="003C2312">
        <w:rPr>
          <w:rFonts w:ascii="宋体" w:hAnsi="宋体" w:cs="宋体" w:hint="eastAsia"/>
          <w:color w:val="000000"/>
          <w:kern w:val="0"/>
          <w:sz w:val="24"/>
          <w:szCs w:val="24"/>
        </w:rPr>
        <w:t>竞评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委会根据参评、聘人员的工作态度、业绩等方面对参评、聘任同一职务级别人员进行综合评议，并做出评定说明意见，重点倾斜一线骨干和多劳绩优的教职工</w:t>
      </w:r>
      <w:r w:rsidR="003C2312">
        <w:rPr>
          <w:rFonts w:ascii="宋体" w:hAnsi="宋体" w:cs="宋体" w:hint="eastAsia"/>
          <w:color w:val="000000"/>
          <w:kern w:val="0"/>
          <w:sz w:val="24"/>
          <w:szCs w:val="24"/>
        </w:rPr>
        <w:t>，可赋分1—8分（视参评人员的各类表现由况推委员会确定分值）</w:t>
      </w:r>
      <w:r w:rsidR="004A399B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四、其他奖项</w:t>
      </w:r>
      <w:r w:rsidR="003C2312">
        <w:rPr>
          <w:rFonts w:ascii="宋体" w:hAnsi="宋体" w:cs="宋体" w:hint="eastAsia"/>
          <w:color w:val="000000"/>
          <w:kern w:val="0"/>
          <w:sz w:val="24"/>
          <w:szCs w:val="24"/>
        </w:rPr>
        <w:t>赋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分办法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 xml:space="preserve">1. 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聘任现专业技术职务以来参加</w:t>
      </w:r>
      <w:r w:rsidR="00C56D74">
        <w:rPr>
          <w:rFonts w:ascii="宋体" w:hAnsi="宋体" w:cs="宋体" w:hint="eastAsia"/>
          <w:color w:val="000000"/>
          <w:kern w:val="0"/>
          <w:sz w:val="24"/>
          <w:szCs w:val="24"/>
        </w:rPr>
        <w:t>政府职能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部门组织的教师技能竞赛或指导学生参加</w:t>
      </w:r>
      <w:r w:rsidR="00C56D74">
        <w:rPr>
          <w:rFonts w:ascii="宋体" w:hAnsi="宋体" w:cs="宋体" w:hint="eastAsia"/>
          <w:color w:val="000000"/>
          <w:kern w:val="0"/>
          <w:sz w:val="24"/>
          <w:szCs w:val="24"/>
        </w:rPr>
        <w:t>政府职能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部门组织的技能竞赛获奖加分办法：</w:t>
      </w:r>
    </w:p>
    <w:p w:rsidR="006E11E1" w:rsidRPr="003C1412" w:rsidRDefault="00C56D74" w:rsidP="00781E2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从教</w:t>
      </w:r>
      <w:r w:rsidR="003C2312">
        <w:rPr>
          <w:rFonts w:ascii="Times New Roman" w:hAnsi="Times New Roman" w:hint="eastAsia"/>
          <w:sz w:val="24"/>
          <w:szCs w:val="24"/>
        </w:rPr>
        <w:t>以</w:t>
      </w:r>
      <w:r w:rsidR="004A399B">
        <w:rPr>
          <w:rFonts w:ascii="Times New Roman" w:hAnsi="Times New Roman" w:hint="eastAsia"/>
          <w:sz w:val="24"/>
          <w:szCs w:val="24"/>
        </w:rPr>
        <w:t>来</w:t>
      </w:r>
      <w:r w:rsidR="006E11E1" w:rsidRPr="003C1412">
        <w:rPr>
          <w:rFonts w:ascii="Times New Roman" w:hAnsi="Times New Roman" w:hint="eastAsia"/>
          <w:sz w:val="24"/>
          <w:szCs w:val="24"/>
        </w:rPr>
        <w:t>评为国家级先进个人称号或参加</w:t>
      </w:r>
      <w:r w:rsidR="0057188E">
        <w:rPr>
          <w:rFonts w:ascii="Times New Roman" w:hAnsi="Times New Roman" w:hint="eastAsia"/>
          <w:sz w:val="24"/>
          <w:szCs w:val="24"/>
        </w:rPr>
        <w:t>各类</w:t>
      </w:r>
      <w:r w:rsidR="006E11E1" w:rsidRPr="003C1412">
        <w:rPr>
          <w:rFonts w:ascii="Times New Roman" w:hAnsi="Times New Roman" w:hint="eastAsia"/>
          <w:sz w:val="24"/>
          <w:szCs w:val="24"/>
        </w:rPr>
        <w:t>比赛获得奖项者，</w:t>
      </w:r>
      <w:r w:rsidR="0057188E">
        <w:rPr>
          <w:rFonts w:ascii="Times New Roman" w:hAnsi="Times New Roman" w:hint="eastAsia"/>
          <w:sz w:val="24"/>
          <w:szCs w:val="24"/>
        </w:rPr>
        <w:t>国家级</w:t>
      </w:r>
      <w:r w:rsidR="003C2312">
        <w:rPr>
          <w:rFonts w:ascii="Times New Roman" w:hAnsi="Times New Roman" w:hint="eastAsia"/>
          <w:sz w:val="24"/>
          <w:szCs w:val="24"/>
        </w:rPr>
        <w:t>3</w:t>
      </w:r>
      <w:r w:rsidR="006E11E1" w:rsidRPr="003C1412">
        <w:rPr>
          <w:rFonts w:ascii="Times New Roman" w:hAnsi="Times New Roman" w:hint="eastAsia"/>
          <w:sz w:val="24"/>
          <w:szCs w:val="24"/>
        </w:rPr>
        <w:t>分，省级</w:t>
      </w:r>
      <w:r w:rsidR="003C2312">
        <w:rPr>
          <w:rFonts w:ascii="Times New Roman" w:hAnsi="Times New Roman" w:hint="eastAsia"/>
          <w:sz w:val="24"/>
          <w:szCs w:val="24"/>
        </w:rPr>
        <w:t>2</w:t>
      </w:r>
      <w:r w:rsidR="006E11E1" w:rsidRPr="003C1412">
        <w:rPr>
          <w:rFonts w:ascii="Times New Roman" w:hAnsi="Times New Roman" w:hint="eastAsia"/>
          <w:sz w:val="24"/>
          <w:szCs w:val="24"/>
        </w:rPr>
        <w:t>分，市级</w:t>
      </w:r>
      <w:r w:rsidR="003C2312">
        <w:rPr>
          <w:rFonts w:ascii="Times New Roman" w:hAnsi="Times New Roman" w:hint="eastAsia"/>
          <w:sz w:val="24"/>
          <w:szCs w:val="24"/>
        </w:rPr>
        <w:t>1</w:t>
      </w:r>
      <w:r w:rsidR="006E11E1" w:rsidRPr="003C1412">
        <w:rPr>
          <w:rFonts w:ascii="Times New Roman" w:hAnsi="Times New Roman" w:hint="eastAsia"/>
          <w:sz w:val="24"/>
          <w:szCs w:val="24"/>
        </w:rPr>
        <w:t>分，</w:t>
      </w:r>
      <w:r>
        <w:rPr>
          <w:rFonts w:ascii="Times New Roman" w:hAnsi="Times New Roman" w:hint="eastAsia"/>
          <w:sz w:val="24"/>
          <w:szCs w:val="24"/>
        </w:rPr>
        <w:t>县级（</w:t>
      </w:r>
      <w:r w:rsidR="006E11E1" w:rsidRPr="003C1412">
        <w:rPr>
          <w:rFonts w:ascii="Times New Roman" w:hAnsi="Times New Roman" w:hint="eastAsia"/>
          <w:sz w:val="24"/>
          <w:szCs w:val="24"/>
        </w:rPr>
        <w:t>校级</w:t>
      </w:r>
      <w:r w:rsidR="00F85A63">
        <w:rPr>
          <w:rFonts w:ascii="Times New Roman" w:hAnsi="Times New Roman" w:hint="eastAsia"/>
          <w:sz w:val="24"/>
          <w:szCs w:val="24"/>
        </w:rPr>
        <w:t>）</w:t>
      </w:r>
      <w:r w:rsidR="0057188E">
        <w:rPr>
          <w:rFonts w:ascii="Times New Roman" w:hAnsi="Times New Roman" w:hint="eastAsia"/>
          <w:sz w:val="24"/>
          <w:szCs w:val="24"/>
        </w:rPr>
        <w:t>0.5</w:t>
      </w:r>
      <w:r w:rsidR="0057188E">
        <w:rPr>
          <w:rFonts w:ascii="Times New Roman" w:hAnsi="Times New Roman" w:hint="eastAsia"/>
          <w:sz w:val="24"/>
          <w:szCs w:val="24"/>
        </w:rPr>
        <w:t>分</w:t>
      </w:r>
      <w:r w:rsidR="006E11E1" w:rsidRPr="003C1412">
        <w:rPr>
          <w:rFonts w:ascii="Times New Roman" w:hAnsi="Times New Roman" w:hint="eastAsia"/>
          <w:sz w:val="24"/>
          <w:szCs w:val="24"/>
        </w:rPr>
        <w:t>。</w:t>
      </w:r>
      <w:r w:rsidR="0057188E">
        <w:rPr>
          <w:rFonts w:ascii="Times New Roman" w:hAnsi="Times New Roman" w:hint="eastAsia"/>
          <w:sz w:val="24"/>
          <w:szCs w:val="24"/>
        </w:rPr>
        <w:t>指导学生参加各类比赛获得国家级</w:t>
      </w:r>
      <w:r w:rsidR="0057188E">
        <w:rPr>
          <w:rFonts w:ascii="Times New Roman" w:hAnsi="Times New Roman" w:hint="eastAsia"/>
          <w:sz w:val="24"/>
          <w:szCs w:val="24"/>
        </w:rPr>
        <w:t>2</w:t>
      </w:r>
      <w:r w:rsidR="0057188E">
        <w:rPr>
          <w:rFonts w:ascii="Times New Roman" w:hAnsi="Times New Roman" w:hint="eastAsia"/>
          <w:sz w:val="24"/>
          <w:szCs w:val="24"/>
        </w:rPr>
        <w:t>分，省级</w:t>
      </w:r>
      <w:r w:rsidR="0057188E">
        <w:rPr>
          <w:rFonts w:ascii="Times New Roman" w:hAnsi="Times New Roman" w:hint="eastAsia"/>
          <w:sz w:val="24"/>
          <w:szCs w:val="24"/>
        </w:rPr>
        <w:t>1</w:t>
      </w:r>
      <w:r w:rsidR="0057188E">
        <w:rPr>
          <w:rFonts w:ascii="Times New Roman" w:hAnsi="Times New Roman" w:hint="eastAsia"/>
          <w:sz w:val="24"/>
          <w:szCs w:val="24"/>
        </w:rPr>
        <w:t>分，市级</w:t>
      </w:r>
      <w:r>
        <w:rPr>
          <w:rFonts w:ascii="Times New Roman" w:hAnsi="Times New Roman" w:hint="eastAsia"/>
          <w:sz w:val="24"/>
          <w:szCs w:val="24"/>
        </w:rPr>
        <w:t>、县级（校级）</w:t>
      </w:r>
      <w:r w:rsidR="0057188E">
        <w:rPr>
          <w:rFonts w:ascii="Times New Roman" w:hAnsi="Times New Roman" w:hint="eastAsia"/>
          <w:sz w:val="24"/>
          <w:szCs w:val="24"/>
        </w:rPr>
        <w:t>0.5</w:t>
      </w:r>
      <w:r w:rsidR="0057188E">
        <w:rPr>
          <w:rFonts w:ascii="Times New Roman" w:hAnsi="Times New Roman" w:hint="eastAsia"/>
          <w:sz w:val="24"/>
          <w:szCs w:val="24"/>
        </w:rPr>
        <w:t>分</w:t>
      </w:r>
      <w:r w:rsidR="0057188E" w:rsidRPr="003C1412">
        <w:rPr>
          <w:rFonts w:ascii="Times New Roman" w:hAnsi="Times New Roman" w:hint="eastAsia"/>
          <w:sz w:val="24"/>
          <w:szCs w:val="24"/>
        </w:rPr>
        <w:t>（</w:t>
      </w:r>
      <w:r w:rsidR="0057188E">
        <w:rPr>
          <w:rFonts w:ascii="Times New Roman" w:hAnsi="Times New Roman" w:hint="eastAsia"/>
          <w:sz w:val="24"/>
          <w:szCs w:val="24"/>
        </w:rPr>
        <w:t>同</w:t>
      </w:r>
      <w:r w:rsidR="0057188E" w:rsidRPr="003C1412">
        <w:rPr>
          <w:rFonts w:ascii="Times New Roman" w:hAnsi="Times New Roman" w:hint="eastAsia"/>
          <w:sz w:val="24"/>
          <w:szCs w:val="24"/>
        </w:rPr>
        <w:t>类</w:t>
      </w:r>
      <w:r w:rsidR="0057188E">
        <w:rPr>
          <w:rFonts w:ascii="Times New Roman" w:hAnsi="Times New Roman" w:hint="eastAsia"/>
          <w:sz w:val="24"/>
          <w:szCs w:val="24"/>
        </w:rPr>
        <w:t>奖项及</w:t>
      </w:r>
      <w:r w:rsidR="0057188E" w:rsidRPr="003C1412">
        <w:rPr>
          <w:rFonts w:ascii="Times New Roman" w:hAnsi="Times New Roman" w:hint="eastAsia"/>
          <w:sz w:val="24"/>
          <w:szCs w:val="24"/>
        </w:rPr>
        <w:t>先进不同年</w:t>
      </w:r>
      <w:r w:rsidR="0057188E">
        <w:rPr>
          <w:rFonts w:ascii="Times New Roman" w:hAnsi="Times New Roman" w:hint="eastAsia"/>
          <w:sz w:val="24"/>
          <w:szCs w:val="24"/>
        </w:rPr>
        <w:t>份</w:t>
      </w:r>
      <w:r w:rsidR="0057188E" w:rsidRPr="003C1412">
        <w:rPr>
          <w:rFonts w:ascii="Times New Roman" w:hAnsi="Times New Roman" w:hint="eastAsia"/>
          <w:sz w:val="24"/>
          <w:szCs w:val="24"/>
        </w:rPr>
        <w:t>可累计，同年取最高奖项）</w:t>
      </w:r>
      <w:r w:rsidR="004A399B">
        <w:rPr>
          <w:rFonts w:ascii="Times New Roman" w:hAnsi="Times New Roman" w:hint="eastAsia"/>
          <w:sz w:val="24"/>
          <w:szCs w:val="24"/>
        </w:rPr>
        <w:t>。</w:t>
      </w:r>
    </w:p>
    <w:p w:rsidR="006E11E1" w:rsidRPr="003C1412" w:rsidRDefault="006E11E1" w:rsidP="00781E2A">
      <w:pPr>
        <w:widowControl/>
        <w:spacing w:after="150" w:line="36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lastRenderedPageBreak/>
        <w:t xml:space="preserve">2. 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任现职年限内，所写专业论文参加市（及以上）科研主管部门、或教育行政主管部门组织的竞赛获得奖项分别加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分。在省（及以上）、市</w:t>
      </w:r>
      <w:r w:rsidR="0057188E">
        <w:rPr>
          <w:rFonts w:ascii="宋体" w:hAnsi="宋体" w:cs="宋体" w:hint="eastAsia"/>
          <w:color w:val="000000"/>
          <w:kern w:val="0"/>
          <w:sz w:val="24"/>
          <w:szCs w:val="24"/>
        </w:rPr>
        <w:t>级有正式刊号的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刊物发表的论文每篇加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6E11E1" w:rsidRDefault="006E11E1" w:rsidP="00781E2A">
      <w:pPr>
        <w:widowControl/>
        <w:spacing w:after="150"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 xml:space="preserve">3. 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任现职年限内，承担学校级公开课</w:t>
      </w:r>
      <w:r w:rsidR="00DF3687">
        <w:rPr>
          <w:rFonts w:ascii="宋体" w:hAnsi="宋体" w:cs="宋体" w:hint="eastAsia"/>
          <w:color w:val="000000"/>
          <w:kern w:val="0"/>
          <w:sz w:val="24"/>
          <w:szCs w:val="24"/>
        </w:rPr>
        <w:t>（观摩课）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每次加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分，承担市（及以上）级公开课</w:t>
      </w:r>
      <w:r w:rsidR="00DF3687">
        <w:rPr>
          <w:rFonts w:ascii="宋体" w:hAnsi="宋体" w:cs="宋体" w:hint="eastAsia"/>
          <w:color w:val="000000"/>
          <w:kern w:val="0"/>
          <w:sz w:val="24"/>
          <w:szCs w:val="24"/>
        </w:rPr>
        <w:t>（观摩课）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每次加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分。</w:t>
      </w:r>
    </w:p>
    <w:p w:rsidR="001747ED" w:rsidRDefault="001747ED" w:rsidP="00781E2A">
      <w:pPr>
        <w:widowControl/>
        <w:spacing w:after="150"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4. </w:t>
      </w:r>
      <w:r w:rsidRPr="001747ED">
        <w:rPr>
          <w:rFonts w:hint="eastAsia"/>
          <w:sz w:val="24"/>
          <w:szCs w:val="24"/>
        </w:rPr>
        <w:t>任现职年限内主持省级课题</w:t>
      </w:r>
      <w:r w:rsidR="0057188E">
        <w:rPr>
          <w:rFonts w:hint="eastAsia"/>
          <w:sz w:val="24"/>
          <w:szCs w:val="24"/>
        </w:rPr>
        <w:t>6</w:t>
      </w:r>
      <w:r w:rsidRPr="001747ED">
        <w:rPr>
          <w:rFonts w:hint="eastAsia"/>
          <w:sz w:val="24"/>
          <w:szCs w:val="24"/>
        </w:rPr>
        <w:t>分，市级</w:t>
      </w:r>
      <w:r w:rsidR="0057188E">
        <w:rPr>
          <w:rFonts w:hint="eastAsia"/>
          <w:sz w:val="24"/>
          <w:szCs w:val="24"/>
        </w:rPr>
        <w:t>5</w:t>
      </w:r>
      <w:r w:rsidRPr="001747ED">
        <w:rPr>
          <w:rFonts w:hint="eastAsia"/>
          <w:sz w:val="24"/>
          <w:szCs w:val="24"/>
        </w:rPr>
        <w:t>分，县级</w:t>
      </w:r>
      <w:r w:rsidRPr="001747ED">
        <w:rPr>
          <w:rFonts w:hint="eastAsia"/>
          <w:sz w:val="24"/>
          <w:szCs w:val="24"/>
        </w:rPr>
        <w:t>3</w:t>
      </w:r>
      <w:r w:rsidRPr="001747ED">
        <w:rPr>
          <w:rFonts w:hint="eastAsia"/>
          <w:sz w:val="24"/>
          <w:szCs w:val="24"/>
        </w:rPr>
        <w:t>分，参与课题者省级</w:t>
      </w:r>
      <w:r>
        <w:rPr>
          <w:rFonts w:hint="eastAsia"/>
          <w:sz w:val="24"/>
          <w:szCs w:val="24"/>
        </w:rPr>
        <w:t>3</w:t>
      </w:r>
      <w:r w:rsidRPr="001747ED">
        <w:rPr>
          <w:rFonts w:hint="eastAsia"/>
          <w:sz w:val="24"/>
          <w:szCs w:val="24"/>
        </w:rPr>
        <w:t>分，市级</w:t>
      </w:r>
      <w:r w:rsidR="0057188E">
        <w:rPr>
          <w:rFonts w:hint="eastAsia"/>
          <w:sz w:val="24"/>
          <w:szCs w:val="24"/>
        </w:rPr>
        <w:t>2</w:t>
      </w:r>
      <w:r w:rsidRPr="001747ED">
        <w:rPr>
          <w:rFonts w:hint="eastAsia"/>
          <w:sz w:val="24"/>
          <w:szCs w:val="24"/>
        </w:rPr>
        <w:t>分，县级</w:t>
      </w:r>
      <w:r w:rsidR="0057188E">
        <w:rPr>
          <w:rFonts w:hint="eastAsia"/>
          <w:sz w:val="24"/>
          <w:szCs w:val="24"/>
        </w:rPr>
        <w:t>1</w:t>
      </w:r>
      <w:r w:rsidRPr="001747ED">
        <w:rPr>
          <w:rFonts w:hint="eastAsia"/>
          <w:sz w:val="24"/>
          <w:szCs w:val="24"/>
        </w:rPr>
        <w:t>分。</w:t>
      </w:r>
    </w:p>
    <w:p w:rsidR="0057188E" w:rsidRPr="0057188E" w:rsidRDefault="0057188E" w:rsidP="0057188E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聘任现专业技术职务以来有一学年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中累计请假30日以上（含30日）、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旷工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个工作日以上的（含</w:t>
      </w:r>
      <w:r w:rsidRPr="003C1412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个工作日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）的，由竞推委员会确定是否推荐参评、聘任。</w:t>
      </w:r>
    </w:p>
    <w:p w:rsidR="006E11E1" w:rsidRPr="003C1412" w:rsidRDefault="0057188E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六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、有下列情形之一者，不予推荐参评、聘任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不服从工作调动及工作安排的，不能自觉履行《中小学教师职业道德规范》的人员；</w:t>
      </w:r>
    </w:p>
    <w:p w:rsidR="0057188E" w:rsidRDefault="006E11E1" w:rsidP="00781E2A">
      <w:pPr>
        <w:widowControl/>
        <w:spacing w:after="150"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2.</w:t>
      </w:r>
      <w:r w:rsidR="0057188E" w:rsidRPr="003C1412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57188E">
        <w:rPr>
          <w:rFonts w:ascii="宋体" w:hAnsi="宋体" w:cs="宋体" w:hint="eastAsia"/>
          <w:color w:val="000000"/>
          <w:kern w:val="0"/>
          <w:sz w:val="24"/>
          <w:szCs w:val="24"/>
        </w:rPr>
        <w:t>凡有伪造学历、资历、剽窃、侵占他人成果等弄虚作假行为的人员</w:t>
      </w:r>
      <w:r w:rsidR="009A77C3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hAnsi="宋体" w:cs="宋体"/>
          <w:color w:val="000000"/>
          <w:kern w:val="0"/>
          <w:sz w:val="24"/>
          <w:szCs w:val="24"/>
        </w:rPr>
        <w:t>3.</w:t>
      </w:r>
      <w:r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不符合上级文件规定的申报参评、竞聘条件的人员。</w:t>
      </w:r>
    </w:p>
    <w:p w:rsidR="006E11E1" w:rsidRPr="003C1412" w:rsidRDefault="009A77C3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七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、本方案经校教代会研究讨论通过后生效，学校原有相关规定与本方案不一致的按本实施方案及细则执行</w:t>
      </w:r>
    </w:p>
    <w:p w:rsidR="006E11E1" w:rsidRPr="003C1412" w:rsidRDefault="00C94800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八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、本考核方案解释权学校专业技术职</w:t>
      </w:r>
      <w:r w:rsidR="009D4B79">
        <w:rPr>
          <w:rFonts w:ascii="宋体" w:hAnsi="宋体" w:cs="宋体" w:hint="eastAsia"/>
          <w:color w:val="000000"/>
          <w:kern w:val="0"/>
          <w:sz w:val="24"/>
          <w:szCs w:val="24"/>
        </w:rPr>
        <w:t>评竞争</w:t>
      </w:r>
      <w:r w:rsidR="006E11E1" w:rsidRPr="003C1412">
        <w:rPr>
          <w:rFonts w:ascii="宋体" w:hAnsi="宋体" w:cs="宋体" w:hint="eastAsia"/>
          <w:color w:val="000000"/>
          <w:kern w:val="0"/>
          <w:sz w:val="24"/>
          <w:szCs w:val="24"/>
        </w:rPr>
        <w:t>委会</w:t>
      </w:r>
    </w:p>
    <w:p w:rsidR="00250C97" w:rsidRDefault="00250C97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6E11E1" w:rsidRPr="003C1412" w:rsidRDefault="006E11E1" w:rsidP="00781E2A">
      <w:pPr>
        <w:widowControl/>
        <w:spacing w:after="150" w:line="360" w:lineRule="auto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C1412">
        <w:rPr>
          <w:rFonts w:ascii="宋体" w:cs="宋体"/>
          <w:color w:val="000000"/>
          <w:kern w:val="0"/>
          <w:sz w:val="24"/>
          <w:szCs w:val="24"/>
        </w:rPr>
        <w:t> </w:t>
      </w:r>
      <w:r w:rsidR="00EC4268">
        <w:rPr>
          <w:rFonts w:ascii="宋体" w:cs="宋体" w:hint="eastAsia"/>
          <w:color w:val="000000"/>
          <w:kern w:val="0"/>
          <w:sz w:val="24"/>
          <w:szCs w:val="24"/>
        </w:rPr>
        <w:t>附：《梅州市特殊教育学校参评中、高级职称推荐量化表》</w:t>
      </w:r>
    </w:p>
    <w:p w:rsidR="00250C97" w:rsidRDefault="00250C97" w:rsidP="00EC4268">
      <w:pPr>
        <w:widowControl/>
        <w:spacing w:after="150" w:line="360" w:lineRule="auto"/>
        <w:ind w:firstLine="4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250C97" w:rsidRDefault="00250C97" w:rsidP="00EC4268">
      <w:pPr>
        <w:widowControl/>
        <w:spacing w:after="150" w:line="360" w:lineRule="auto"/>
        <w:ind w:firstLine="4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6E11E1" w:rsidRDefault="00EC4268" w:rsidP="00EC4268">
      <w:pPr>
        <w:widowControl/>
        <w:spacing w:after="150" w:line="360" w:lineRule="auto"/>
        <w:ind w:firstLine="48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梅州市特殊教育学校</w:t>
      </w:r>
    </w:p>
    <w:p w:rsidR="00EC4268" w:rsidRPr="003C1412" w:rsidRDefault="00EC4268" w:rsidP="00EC4268">
      <w:pPr>
        <w:widowControl/>
        <w:spacing w:after="150" w:line="360" w:lineRule="auto"/>
        <w:ind w:right="480" w:firstLine="480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2016年9月</w:t>
      </w:r>
    </w:p>
    <w:p w:rsidR="00EC4268" w:rsidRDefault="00EC4268" w:rsidP="00781E2A">
      <w:pPr>
        <w:spacing w:line="360" w:lineRule="auto"/>
        <w:rPr>
          <w:sz w:val="24"/>
          <w:szCs w:val="24"/>
        </w:rPr>
      </w:pPr>
    </w:p>
    <w:p w:rsidR="00EC4268" w:rsidRDefault="00EC4268" w:rsidP="000849D5">
      <w:pPr>
        <w:spacing w:line="360" w:lineRule="auto"/>
        <w:jc w:val="center"/>
        <w:rPr>
          <w:b/>
          <w:sz w:val="10"/>
          <w:szCs w:val="10"/>
        </w:rPr>
      </w:pPr>
      <w:r w:rsidRPr="000849D5">
        <w:rPr>
          <w:rFonts w:hint="eastAsia"/>
          <w:b/>
          <w:sz w:val="32"/>
          <w:szCs w:val="32"/>
        </w:rPr>
        <w:t>梅州市特殊教育学校参评中、高级职称推荐量化表</w:t>
      </w:r>
    </w:p>
    <w:p w:rsidR="00250C97" w:rsidRPr="00250C97" w:rsidRDefault="00250C97" w:rsidP="000849D5">
      <w:pPr>
        <w:spacing w:line="360" w:lineRule="auto"/>
        <w:jc w:val="center"/>
        <w:rPr>
          <w:b/>
          <w:sz w:val="10"/>
          <w:szCs w:val="10"/>
        </w:rPr>
      </w:pPr>
    </w:p>
    <w:p w:rsidR="00EC4268" w:rsidRDefault="000849D5" w:rsidP="00781E2A">
      <w:pPr>
        <w:spacing w:line="360" w:lineRule="auto"/>
        <w:rPr>
          <w:sz w:val="10"/>
          <w:szCs w:val="10"/>
        </w:rPr>
      </w:pPr>
      <w:r>
        <w:rPr>
          <w:rFonts w:hint="eastAsia"/>
          <w:sz w:val="24"/>
          <w:szCs w:val="24"/>
        </w:rPr>
        <w:t>申报参评教师：</w:t>
      </w:r>
      <w:r w:rsidR="00C06B40">
        <w:rPr>
          <w:rFonts w:hint="eastAsia"/>
          <w:sz w:val="24"/>
          <w:szCs w:val="24"/>
        </w:rPr>
        <w:t>姚生平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申报类别：</w:t>
      </w:r>
      <w:r w:rsidR="00C06B40">
        <w:rPr>
          <w:rFonts w:hint="eastAsia"/>
          <w:sz w:val="24"/>
          <w:szCs w:val="24"/>
        </w:rPr>
        <w:t>小</w:t>
      </w:r>
      <w:r w:rsidR="00AE3D73">
        <w:rPr>
          <w:rFonts w:hint="eastAsia"/>
          <w:sz w:val="24"/>
          <w:szCs w:val="24"/>
        </w:rPr>
        <w:t>学</w:t>
      </w:r>
      <w:r w:rsidR="00C06B40">
        <w:rPr>
          <w:rFonts w:hint="eastAsia"/>
          <w:sz w:val="24"/>
          <w:szCs w:val="24"/>
        </w:rPr>
        <w:t>音乐高</w:t>
      </w:r>
      <w:r w:rsidR="00AE3D73">
        <w:rPr>
          <w:rFonts w:hint="eastAsia"/>
          <w:sz w:val="24"/>
          <w:szCs w:val="24"/>
        </w:rPr>
        <w:t>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申报时间：</w:t>
      </w:r>
      <w:r w:rsidR="00AE3D73">
        <w:rPr>
          <w:rFonts w:hint="eastAsia"/>
          <w:sz w:val="24"/>
          <w:szCs w:val="24"/>
        </w:rPr>
        <w:t>2017.9.6</w:t>
      </w:r>
    </w:p>
    <w:p w:rsidR="00250C97" w:rsidRPr="00250C97" w:rsidRDefault="00250C97" w:rsidP="00781E2A">
      <w:pPr>
        <w:spacing w:line="360" w:lineRule="auto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6344"/>
        <w:gridCol w:w="283"/>
        <w:gridCol w:w="567"/>
        <w:gridCol w:w="476"/>
      </w:tblGrid>
      <w:tr w:rsidR="004503AB" w:rsidTr="009A77C3">
        <w:tc>
          <w:tcPr>
            <w:tcW w:w="426" w:type="dxa"/>
            <w:vAlign w:val="center"/>
          </w:tcPr>
          <w:p w:rsidR="004503AB" w:rsidRDefault="004503AB" w:rsidP="00250C9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344" w:type="dxa"/>
            <w:vAlign w:val="center"/>
          </w:tcPr>
          <w:p w:rsidR="004503AB" w:rsidRDefault="004503AB" w:rsidP="00250C9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量化评分标准</w:t>
            </w:r>
          </w:p>
        </w:tc>
        <w:tc>
          <w:tcPr>
            <w:tcW w:w="283" w:type="dxa"/>
            <w:vAlign w:val="center"/>
          </w:tcPr>
          <w:p w:rsidR="004503AB" w:rsidRDefault="004503AB" w:rsidP="00250C9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849D5" w:rsidRDefault="004503AB" w:rsidP="00250C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849D5">
              <w:rPr>
                <w:rFonts w:hint="eastAsia"/>
                <w:sz w:val="18"/>
                <w:szCs w:val="18"/>
              </w:rPr>
              <w:t>自评分</w:t>
            </w:r>
          </w:p>
        </w:tc>
        <w:tc>
          <w:tcPr>
            <w:tcW w:w="476" w:type="dxa"/>
            <w:vAlign w:val="center"/>
          </w:tcPr>
          <w:p w:rsidR="004503AB" w:rsidRPr="000849D5" w:rsidRDefault="004503AB" w:rsidP="00250C9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849D5">
              <w:rPr>
                <w:rFonts w:hint="eastAsia"/>
                <w:sz w:val="18"/>
                <w:szCs w:val="18"/>
              </w:rPr>
              <w:t>审核分</w:t>
            </w: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 w:rsidRPr="000961A7">
              <w:rPr>
                <w:rFonts w:hint="eastAsia"/>
                <w:szCs w:val="21"/>
              </w:rPr>
              <w:t>1</w:t>
            </w:r>
          </w:p>
        </w:tc>
        <w:tc>
          <w:tcPr>
            <w:tcW w:w="6344" w:type="dxa"/>
          </w:tcPr>
          <w:p w:rsidR="004503AB" w:rsidRPr="000961A7" w:rsidRDefault="004503AB" w:rsidP="00C56D74">
            <w:pPr>
              <w:spacing w:line="360" w:lineRule="auto"/>
              <w:rPr>
                <w:szCs w:val="21"/>
              </w:rPr>
            </w:pPr>
            <w:r w:rsidRPr="000961A7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任现职以来年度考核合格</w:t>
            </w:r>
            <w:r w:rsidR="00C56D74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以上（含合格）</w:t>
            </w:r>
            <w:r w:rsidRPr="000961A7">
              <w:rPr>
                <w:rFonts w:ascii="宋体" w:hAnsi="宋体" w:cs="宋体" w:hint="eastAsia"/>
                <w:color w:val="000000"/>
                <w:kern w:val="0"/>
                <w:szCs w:val="21"/>
              </w:rPr>
              <w:t>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</w:t>
            </w:r>
            <w:r w:rsidRPr="000961A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C56D7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44" w:type="dxa"/>
          </w:tcPr>
          <w:p w:rsidR="004503AB" w:rsidRPr="00C56D74" w:rsidRDefault="00C56D74" w:rsidP="004A399B">
            <w:pPr>
              <w:widowControl/>
              <w:spacing w:after="1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56D7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教师按教学工作年限（教龄），教龄每年1分，如出现同等分值情况下，特校工作年限长者为先；从教以业在薄弱（农村）学校工作经历或支教人员3分。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44" w:type="dxa"/>
          </w:tcPr>
          <w:p w:rsidR="004503AB" w:rsidRPr="00342A06" w:rsidRDefault="004503AB" w:rsidP="00781E2A">
            <w:pPr>
              <w:spacing w:line="360" w:lineRule="auto"/>
              <w:rPr>
                <w:szCs w:val="21"/>
              </w:rPr>
            </w:pPr>
            <w:r w:rsidRPr="00342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任现职专业技术职务年限，每年</w:t>
            </w:r>
            <w:r w:rsidRPr="00342A0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42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44" w:type="dxa"/>
          </w:tcPr>
          <w:p w:rsidR="004503AB" w:rsidRPr="00342A06" w:rsidRDefault="004503AB" w:rsidP="00342A06">
            <w:pPr>
              <w:widowControl/>
              <w:spacing w:after="1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42A0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从教以来担任行政、教研组长、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团队负责人、</w:t>
            </w:r>
            <w:r w:rsidRPr="00342A06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班主任每年</w:t>
            </w:r>
            <w:r w:rsidRPr="00342A06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342A06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分（同一时段任多种职务可累计）</w:t>
            </w:r>
            <w:r w:rsidRPr="003C14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AA537E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44" w:type="dxa"/>
          </w:tcPr>
          <w:p w:rsidR="004503AB" w:rsidRPr="004A399B" w:rsidRDefault="004503AB" w:rsidP="004A399B">
            <w:pPr>
              <w:widowControl/>
              <w:spacing w:after="150"/>
              <w:ind w:firstLine="4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A537E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定性与定量评价相结合的原则，由学校专业技术职务评（聘）委会根据参评、聘人员的工作态度、业绩等方面对参评、聘任同一职务级别人员进行综合评议，并做出评定说明意见，重点倾斜一线骨干和多劳绩优的教职工。</w:t>
            </w:r>
            <w:r w:rsidRPr="004A399B">
              <w:rPr>
                <w:rFonts w:ascii="宋体" w:hAnsi="宋体" w:cs="宋体" w:hint="eastAsia"/>
                <w:color w:val="000000"/>
                <w:kern w:val="0"/>
                <w:szCs w:val="21"/>
              </w:rPr>
              <w:t>可赋分1—8分（视参评人员的各类表现由况推委员会确定分值）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44" w:type="dxa"/>
          </w:tcPr>
          <w:p w:rsidR="004503AB" w:rsidRPr="004503AB" w:rsidRDefault="004503AB" w:rsidP="00C56D74">
            <w:pPr>
              <w:rPr>
                <w:rFonts w:ascii="Times New Roman" w:hAnsi="Times New Roman"/>
                <w:szCs w:val="21"/>
              </w:rPr>
            </w:pPr>
            <w:r w:rsidRPr="004503AB">
              <w:rPr>
                <w:rFonts w:ascii="Times New Roman" w:hAnsi="Times New Roman" w:hint="eastAsia"/>
                <w:szCs w:val="21"/>
              </w:rPr>
              <w:t>任职以来评为国家级先进个人称号或参加各类比赛获得奖项者，国家级</w:t>
            </w:r>
            <w:r w:rsidRPr="004503AB">
              <w:rPr>
                <w:rFonts w:ascii="Times New Roman" w:hAnsi="Times New Roman" w:hint="eastAsia"/>
                <w:szCs w:val="21"/>
              </w:rPr>
              <w:t>3</w:t>
            </w:r>
            <w:r w:rsidRPr="004503AB">
              <w:rPr>
                <w:rFonts w:ascii="Times New Roman" w:hAnsi="Times New Roman" w:hint="eastAsia"/>
                <w:szCs w:val="21"/>
              </w:rPr>
              <w:t>分，省级</w:t>
            </w:r>
            <w:r w:rsidRPr="004503AB">
              <w:rPr>
                <w:rFonts w:ascii="Times New Roman" w:hAnsi="Times New Roman" w:hint="eastAsia"/>
                <w:szCs w:val="21"/>
              </w:rPr>
              <w:t>2</w:t>
            </w:r>
            <w:r w:rsidRPr="004503AB">
              <w:rPr>
                <w:rFonts w:ascii="Times New Roman" w:hAnsi="Times New Roman" w:hint="eastAsia"/>
                <w:szCs w:val="21"/>
              </w:rPr>
              <w:t>分，市级</w:t>
            </w:r>
            <w:r w:rsidRPr="004503AB">
              <w:rPr>
                <w:rFonts w:ascii="Times New Roman" w:hAnsi="Times New Roman" w:hint="eastAsia"/>
                <w:szCs w:val="21"/>
              </w:rPr>
              <w:t>1</w:t>
            </w:r>
            <w:r w:rsidRPr="004503AB">
              <w:rPr>
                <w:rFonts w:ascii="Times New Roman" w:hAnsi="Times New Roman" w:hint="eastAsia"/>
                <w:szCs w:val="21"/>
              </w:rPr>
              <w:t>分，</w:t>
            </w:r>
            <w:r w:rsidR="00C56D74">
              <w:rPr>
                <w:rFonts w:ascii="Times New Roman" w:hAnsi="Times New Roman" w:hint="eastAsia"/>
                <w:szCs w:val="21"/>
              </w:rPr>
              <w:t>县级（</w:t>
            </w:r>
            <w:r w:rsidR="00C56D74" w:rsidRPr="004503AB">
              <w:rPr>
                <w:rFonts w:ascii="Times New Roman" w:hAnsi="Times New Roman" w:hint="eastAsia"/>
                <w:szCs w:val="21"/>
              </w:rPr>
              <w:t>校级</w:t>
            </w:r>
            <w:r w:rsidR="00C56D74">
              <w:rPr>
                <w:rFonts w:ascii="Times New Roman" w:hAnsi="Times New Roman" w:hint="eastAsia"/>
                <w:szCs w:val="21"/>
              </w:rPr>
              <w:t>）</w:t>
            </w:r>
            <w:r w:rsidRPr="004503AB">
              <w:rPr>
                <w:rFonts w:ascii="Times New Roman" w:hAnsi="Times New Roman" w:hint="eastAsia"/>
                <w:szCs w:val="21"/>
              </w:rPr>
              <w:t>0.5</w:t>
            </w:r>
            <w:r w:rsidRPr="004503AB">
              <w:rPr>
                <w:rFonts w:ascii="Times New Roman" w:hAnsi="Times New Roman" w:hint="eastAsia"/>
                <w:szCs w:val="21"/>
              </w:rPr>
              <w:t>分。指导学生参加各类比赛获得国家级</w:t>
            </w:r>
            <w:r w:rsidRPr="004503AB">
              <w:rPr>
                <w:rFonts w:ascii="Times New Roman" w:hAnsi="Times New Roman" w:hint="eastAsia"/>
                <w:szCs w:val="21"/>
              </w:rPr>
              <w:t>2</w:t>
            </w:r>
            <w:r w:rsidRPr="004503AB">
              <w:rPr>
                <w:rFonts w:ascii="Times New Roman" w:hAnsi="Times New Roman" w:hint="eastAsia"/>
                <w:szCs w:val="21"/>
              </w:rPr>
              <w:t>分，省级</w:t>
            </w:r>
            <w:r w:rsidRPr="004503AB">
              <w:rPr>
                <w:rFonts w:ascii="Times New Roman" w:hAnsi="Times New Roman" w:hint="eastAsia"/>
                <w:szCs w:val="21"/>
              </w:rPr>
              <w:t>1</w:t>
            </w:r>
            <w:r w:rsidRPr="004503AB">
              <w:rPr>
                <w:rFonts w:ascii="Times New Roman" w:hAnsi="Times New Roman" w:hint="eastAsia"/>
                <w:szCs w:val="21"/>
              </w:rPr>
              <w:t>分，市级</w:t>
            </w:r>
            <w:r w:rsidR="00C56D74">
              <w:rPr>
                <w:rFonts w:ascii="Times New Roman" w:hAnsi="Times New Roman" w:hint="eastAsia"/>
                <w:szCs w:val="21"/>
              </w:rPr>
              <w:t>、县级（校级）</w:t>
            </w:r>
            <w:r w:rsidRPr="004503AB">
              <w:rPr>
                <w:rFonts w:ascii="Times New Roman" w:hAnsi="Times New Roman" w:hint="eastAsia"/>
                <w:szCs w:val="21"/>
              </w:rPr>
              <w:t>0.5</w:t>
            </w:r>
            <w:r w:rsidRPr="004503AB">
              <w:rPr>
                <w:rFonts w:ascii="Times New Roman" w:hAnsi="Times New Roman" w:hint="eastAsia"/>
                <w:szCs w:val="21"/>
              </w:rPr>
              <w:t>分（同类奖项及先进不同年份可累计，同年取最高奖项）。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44" w:type="dxa"/>
          </w:tcPr>
          <w:p w:rsidR="004503AB" w:rsidRPr="004503AB" w:rsidRDefault="004503AB" w:rsidP="00AA537E">
            <w:pPr>
              <w:rPr>
                <w:szCs w:val="21"/>
              </w:rPr>
            </w:pPr>
            <w:r w:rsidRPr="004503AB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任现职年限内，所写专业论文参加市（及以上）科研主管部门、或教育行政主管部门组织的竞赛获得奖项分别加</w:t>
            </w:r>
            <w:r w:rsidRPr="004503AB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4503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分。在省（及以上）、市级有正式刊号的刊物发表的论文每篇加</w:t>
            </w:r>
            <w:r w:rsidRPr="004503AB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4503AB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44" w:type="dxa"/>
          </w:tcPr>
          <w:p w:rsidR="004503AB" w:rsidRPr="00AA537E" w:rsidRDefault="004503AB" w:rsidP="00AA537E">
            <w:pPr>
              <w:widowControl/>
              <w:spacing w:after="1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A537E">
              <w:rPr>
                <w:rFonts w:ascii="宋体" w:hAnsi="宋体" w:cs="宋体" w:hint="eastAsia"/>
                <w:color w:val="000000"/>
                <w:kern w:val="0"/>
                <w:szCs w:val="21"/>
              </w:rPr>
              <w:t>任现职年限内，承担学校级公开课（观摩课）每次加</w:t>
            </w:r>
            <w:r w:rsidRPr="00AA537E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AA53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分，承担市（及以上）级公开课（观摩课）每次加</w:t>
            </w:r>
            <w:r w:rsidRPr="00AA537E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AA537E"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4503AB" w:rsidP="00AE3D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  <w:tr w:rsidR="004503AB" w:rsidTr="00AE3D73">
        <w:tc>
          <w:tcPr>
            <w:tcW w:w="42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44" w:type="dxa"/>
          </w:tcPr>
          <w:p w:rsidR="004503AB" w:rsidRPr="000961A7" w:rsidRDefault="004503AB" w:rsidP="00450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任现职年限内主持课题省级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分，市级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分，县级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分，参与课题者省级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分，市级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分，县级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分。</w:t>
            </w:r>
          </w:p>
        </w:tc>
        <w:tc>
          <w:tcPr>
            <w:tcW w:w="283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503AB" w:rsidRPr="000961A7" w:rsidRDefault="00C06B40" w:rsidP="00AE3D7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76" w:type="dxa"/>
          </w:tcPr>
          <w:p w:rsidR="004503AB" w:rsidRPr="000961A7" w:rsidRDefault="004503AB" w:rsidP="00781E2A">
            <w:pPr>
              <w:spacing w:line="360" w:lineRule="auto"/>
              <w:rPr>
                <w:szCs w:val="21"/>
              </w:rPr>
            </w:pPr>
          </w:p>
        </w:tc>
      </w:tr>
    </w:tbl>
    <w:p w:rsidR="00AE3D73" w:rsidRDefault="00AE3D73" w:rsidP="00781E2A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</w:t>
      </w:r>
      <w:r w:rsidR="00C06B40">
        <w:rPr>
          <w:rFonts w:hint="eastAsia"/>
          <w:szCs w:val="21"/>
        </w:rPr>
        <w:t xml:space="preserve"> </w:t>
      </w:r>
      <w:bookmarkStart w:id="0" w:name="_GoBack"/>
      <w:bookmarkEnd w:id="0"/>
      <w:r w:rsidR="00C06B40">
        <w:rPr>
          <w:rFonts w:hint="eastAsia"/>
          <w:szCs w:val="21"/>
        </w:rPr>
        <w:t>135</w:t>
      </w:r>
    </w:p>
    <w:p w:rsidR="000849D5" w:rsidRPr="000849D5" w:rsidRDefault="004503AB" w:rsidP="00781E2A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注：所有证明材料参评者均需提供原件。</w:t>
      </w:r>
    </w:p>
    <w:sectPr w:rsidR="000849D5" w:rsidRPr="000849D5" w:rsidSect="00150F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18" w:rsidRDefault="00964418">
      <w:r>
        <w:separator/>
      </w:r>
    </w:p>
  </w:endnote>
  <w:endnote w:type="continuationSeparator" w:id="0">
    <w:p w:rsidR="00964418" w:rsidRDefault="0096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18" w:rsidRDefault="00964418">
      <w:r>
        <w:separator/>
      </w:r>
    </w:p>
  </w:footnote>
  <w:footnote w:type="continuationSeparator" w:id="0">
    <w:p w:rsidR="00964418" w:rsidRDefault="0096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E1" w:rsidRDefault="006E11E1" w:rsidP="00107E9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9F1"/>
    <w:multiLevelType w:val="hybridMultilevel"/>
    <w:tmpl w:val="7166CD74"/>
    <w:lvl w:ilvl="0" w:tplc="0C3A5B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39429E0"/>
    <w:multiLevelType w:val="hybridMultilevel"/>
    <w:tmpl w:val="928A4E8E"/>
    <w:lvl w:ilvl="0" w:tplc="9D6A6F8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93"/>
    <w:rsid w:val="000849D5"/>
    <w:rsid w:val="000961A7"/>
    <w:rsid w:val="000E215D"/>
    <w:rsid w:val="00107E9C"/>
    <w:rsid w:val="00150FEA"/>
    <w:rsid w:val="001747ED"/>
    <w:rsid w:val="001A6A03"/>
    <w:rsid w:val="001E29C2"/>
    <w:rsid w:val="0024134E"/>
    <w:rsid w:val="00250C97"/>
    <w:rsid w:val="00275B11"/>
    <w:rsid w:val="0029141A"/>
    <w:rsid w:val="002D51EC"/>
    <w:rsid w:val="00342A06"/>
    <w:rsid w:val="003C1412"/>
    <w:rsid w:val="003C2312"/>
    <w:rsid w:val="003F681A"/>
    <w:rsid w:val="00415E7D"/>
    <w:rsid w:val="004503AB"/>
    <w:rsid w:val="004A399B"/>
    <w:rsid w:val="004A63E9"/>
    <w:rsid w:val="005028D4"/>
    <w:rsid w:val="0057188E"/>
    <w:rsid w:val="00604BB9"/>
    <w:rsid w:val="006E11E1"/>
    <w:rsid w:val="00713938"/>
    <w:rsid w:val="0076242F"/>
    <w:rsid w:val="00764493"/>
    <w:rsid w:val="00781E2A"/>
    <w:rsid w:val="007B0C6B"/>
    <w:rsid w:val="00807EE5"/>
    <w:rsid w:val="00863272"/>
    <w:rsid w:val="008D01AB"/>
    <w:rsid w:val="0096114B"/>
    <w:rsid w:val="00964418"/>
    <w:rsid w:val="00980B1C"/>
    <w:rsid w:val="009A77C3"/>
    <w:rsid w:val="009D4B79"/>
    <w:rsid w:val="009E35E8"/>
    <w:rsid w:val="00A406E7"/>
    <w:rsid w:val="00AA4C35"/>
    <w:rsid w:val="00AA537E"/>
    <w:rsid w:val="00AC5445"/>
    <w:rsid w:val="00AE3D73"/>
    <w:rsid w:val="00B01F4F"/>
    <w:rsid w:val="00B65484"/>
    <w:rsid w:val="00C06B40"/>
    <w:rsid w:val="00C3111A"/>
    <w:rsid w:val="00C56D74"/>
    <w:rsid w:val="00C94800"/>
    <w:rsid w:val="00D64A8F"/>
    <w:rsid w:val="00DF3687"/>
    <w:rsid w:val="00E13BB9"/>
    <w:rsid w:val="00E22E54"/>
    <w:rsid w:val="00EC4268"/>
    <w:rsid w:val="00F24CAC"/>
    <w:rsid w:val="00F8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93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8D01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D01AB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10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1DE6"/>
    <w:rPr>
      <w:sz w:val="18"/>
      <w:szCs w:val="18"/>
    </w:rPr>
  </w:style>
  <w:style w:type="paragraph" w:styleId="a6">
    <w:name w:val="footer"/>
    <w:basedOn w:val="a"/>
    <w:link w:val="Char1"/>
    <w:uiPriority w:val="99"/>
    <w:rsid w:val="0010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91DE6"/>
    <w:rPr>
      <w:sz w:val="18"/>
      <w:szCs w:val="18"/>
    </w:rPr>
  </w:style>
  <w:style w:type="table" w:styleId="a7">
    <w:name w:val="Table Grid"/>
    <w:basedOn w:val="a1"/>
    <w:locked/>
    <w:rsid w:val="0008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393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8D01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8D01AB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10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1DE6"/>
    <w:rPr>
      <w:sz w:val="18"/>
      <w:szCs w:val="18"/>
    </w:rPr>
  </w:style>
  <w:style w:type="paragraph" w:styleId="a6">
    <w:name w:val="footer"/>
    <w:basedOn w:val="a"/>
    <w:link w:val="Char1"/>
    <w:uiPriority w:val="99"/>
    <w:rsid w:val="00107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91DE6"/>
    <w:rPr>
      <w:sz w:val="18"/>
      <w:szCs w:val="18"/>
    </w:rPr>
  </w:style>
  <w:style w:type="table" w:styleId="a7">
    <w:name w:val="Table Grid"/>
    <w:basedOn w:val="a1"/>
    <w:locked/>
    <w:rsid w:val="0008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1457">
                      <w:marLeft w:val="93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1462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14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1447">
                                          <w:marLeft w:val="0"/>
                                          <w:marRight w:val="-39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1449">
                                              <w:marLeft w:val="0"/>
                                              <w:marRight w:val="390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FFFF9"/>
                                                <w:left w:val="single" w:sz="2" w:space="0" w:color="FFFFF9"/>
                                                <w:bottom w:val="single" w:sz="2" w:space="0" w:color="FFFFF9"/>
                                                <w:right w:val="single" w:sz="6" w:space="15" w:color="FFFFF9"/>
                                              </w:divBdr>
                                              <w:divsChild>
                                                <w:div w:id="121014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dashed" w:sz="2" w:space="0" w:color="FFFFF9"/>
                                                        <w:left w:val="dashed" w:sz="2" w:space="8" w:color="FFFFF9"/>
                                                        <w:bottom w:val="dashed" w:sz="6" w:space="0" w:color="FFFFF9"/>
                                                        <w:right w:val="dashed" w:sz="2" w:space="8" w:color="FFFFF9"/>
                                                      </w:divBdr>
                                                      <w:divsChild>
                                                        <w:div w:id="1210141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14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14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14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014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14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41466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01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14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91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4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144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single" w:sz="6" w:space="0" w:color="D5D5D5"/>
                                                                <w:left w:val="single" w:sz="6" w:space="0" w:color="D5D5D5"/>
                                                                <w:bottom w:val="single" w:sz="6" w:space="0" w:color="D5D5D5"/>
                                                                <w:right w:val="single" w:sz="6" w:space="0" w:color="D5D5D5"/>
                                                              </w:divBdr>
                                                              <w:divsChild>
                                                                <w:div w:id="1210141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41481">
                                                          <w:marLeft w:val="-75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1453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55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58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64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67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71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74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75">
                                                              <w:marLeft w:val="165"/>
                                                              <w:marRight w:val="16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41482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1490">
                                                                  <w:marLeft w:val="150"/>
                                                                  <w:marRight w:val="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14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14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145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000000"/>
                                                                    <w:left w:val="single" w:sz="6" w:space="0" w:color="000000"/>
                                                                    <w:bottom w:val="single" w:sz="6" w:space="8" w:color="000000"/>
                                                                    <w:right w:val="single" w:sz="6" w:space="4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A1DD-AD98-45DA-A045-65761338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梅州市特殊教育学校教师职称竞争推荐方案</dc:title>
  <dc:creator>Administrator</dc:creator>
  <cp:lastModifiedBy>Administrator</cp:lastModifiedBy>
  <cp:revision>4</cp:revision>
  <cp:lastPrinted>2017-09-06T06:45:00Z</cp:lastPrinted>
  <dcterms:created xsi:type="dcterms:W3CDTF">2016-09-18T01:32:00Z</dcterms:created>
  <dcterms:modified xsi:type="dcterms:W3CDTF">2017-09-06T06:46:00Z</dcterms:modified>
</cp:coreProperties>
</file>